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##ATO PAUTA DE JULGAMENTO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##TEX Período da Reunião de 15 a 17/04/2025.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Pauta ordinária de julgamento dos recursos da 2ª Turma Ordinária da 1ª Câmara da 1ª Seção, em sessões síncronas não presenciais a serem realizadas nas datas a seguir mencionadas.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OBSERVAÇÕES: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1) Solicitações ou envios de sustentação oral e memorial devem ser feitos até 2 (dois)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1.1) É permitido realizar sustentação oral;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a) em tempo real por meio de videoconferência ou tecnologia similar; ou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b) por meio de postagem de vídeo ou áudio no Centro de Atendimento Virtual da Receita Federal - e-CAC.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1.2) Serão desconsiderados a sustentação oral e o memorial cujos arquivos transmitidos não atendam à duração e aos requisitos previstos, respectivamente, no art. 11, e no art. 12 da Portaria CARF/MF nº 1.240, de 2 de agosto de 2024;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2) Solicitações de transferência ou retirada de pauta devem ser enviadas até 4 (quatro) dias úteis antes do início da reunião mensal de julgamento da turma, independentemente da sessão em que o processo tenha sido agendado;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 xml:space="preserve">3) As sessões de julgamento serão transmitidas ao vivo no canal do CARF na internet no seguinte endereço: </w:t>
      </w:r>
      <w:hyperlink r:id="rId2">
        <w:r>
          <w:rPr>
            <w:rStyle w:val="Hyperlink"/>
            <w:rFonts w:eastAsia="Times New Roman" w:cs="Calibri" w:ascii="Calibri" w:hAnsi="Calibri"/>
            <w:kern w:val="0"/>
            <w:sz w:val="18"/>
            <w:szCs w:val="18"/>
            <w:lang w:val="pt-BR" w:eastAsia="pt-BR" w:bidi="ar-SA"/>
          </w:rPr>
          <w:t>https://www.youtube.com/channel/UCXuwg-xPYjmdGcqCk4rdvRg</w:t>
        </w:r>
      </w:hyperlink>
      <w:r>
        <w:rPr>
          <w:rFonts w:cs="Calibri" w:ascii="Calibri" w:hAnsi="Calibri"/>
          <w:kern w:val="0"/>
          <w:sz w:val="18"/>
          <w:szCs w:val="18"/>
        </w:rPr>
        <w:t>;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4) Os julgamentos adiados, dentro da mesma reunião, serão realizados independentemente de nova publicação; e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5) O resultado do julgamento dos processos da tabela abaixo servirá como paradigma para o julgamento dos itens da coluna “ITENS REPETITIVOS” da tabela, nos termos do § 3º do art. 87 da Portaria MF nº 1.634, de 21 de dezembro de 2023.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tbl>
      <w:tblPr>
        <w:tblW w:w="6804" w:type="dxa"/>
        <w:jc w:val="left"/>
        <w:tblInd w:w="1106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34"/>
        <w:gridCol w:w="3223"/>
        <w:gridCol w:w="2447"/>
      </w:tblGrid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Item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Processo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ITENS REPETITIVOS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10880.909714/2016-46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tabs>
                <w:tab w:val="clear" w:pos="720"/>
              </w:tabs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4 a 4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5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11080.731366/2017-54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6 a 6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20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13609.720262/2017-43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21 a 21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33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18220.728115/2021-76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34 a 34</w:t>
            </w:r>
          </w:p>
        </w:tc>
      </w:tr>
      <w:tr>
        <w:trPr/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36</w:t>
            </w:r>
          </w:p>
        </w:tc>
        <w:tc>
          <w:tcPr>
            <w:tcW w:w="32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10680.911821/2013-48</w:t>
            </w:r>
          </w:p>
        </w:tc>
        <w:tc>
          <w:tcPr>
            <w:tcW w:w="244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Normal"/>
              <w:widowControl w:val="false"/>
              <w:bidi w:val="0"/>
              <w:spacing w:before="0" w:after="0"/>
              <w:ind w:hanging="0" w:left="0" w:right="0"/>
              <w:jc w:val="center"/>
              <w:rPr/>
            </w:pPr>
            <w:r>
              <w:rPr>
                <w:rFonts w:cs="Calibri" w:ascii="Calibri" w:hAnsi="Calibri"/>
                <w:kern w:val="0"/>
                <w:sz w:val="18"/>
                <w:szCs w:val="18"/>
              </w:rPr>
              <w:t>37 a 38</w:t>
            </w:r>
          </w:p>
        </w:tc>
      </w:tr>
    </w:tbl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1 - Processo nº: 16327.721049/2021-90 - Recorrentes: BANCO SAFRA S 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GUSTAVO SCHNEIDER FOSSATI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2 - Processo nº: 15746.720212/2021-01 - Recorrente: SASCAR - TECNOLOGIA E SEGURANCA AUTOMOTIVA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3 - Processo nº: 10880.909714/2016-46 - Recorrente: WORLEY ENGENHARIA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4 - Processo nº: 10880.909713/2016-00 - Recorrente: WORLEY ENGENHARIA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5 - Processo nº: 11080.731366/2017-54 - Recorrente: WORLEY ENGENHARIA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6 - Processo nº: 11080.730960/2017-28 - Recorrente: WORLEY ENGENHARIA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15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7 - Processo nº: 16062.720165/2018-44 - Recorrente: CROSS FILTER BRASIL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8 - Processo nº: 16327.720843/2018-11 - Recorrente: CITIBANK LEASING S A ARRENDAMENTO MERCANTIL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GUSTAVO SCHNEIDER FOSSATI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9 - Processo nº: 19515.720715/2016-86 - Recorrente: PRESSSEG SERVICOS DE SEGURANCA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10 - Processo nº: 19515.720716/2016-21 - Recorrente: PRESSSEG SERVICOS DE SEGURANCA EIRELI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11 - Processo nº: 10935.720983/2016-82 - Recorrente: RODOKINHO INDUSTRIA E COMERCIO DE VEICULOS RODOVIARIOS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12 - Processo nº: 19515.720867/2018-41 - Recorrente: IBERICA CONDUTORES ELETRICOS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13 - Processo nº: 16327.721107/2021-85 - Recorrente: SWISS RE CORPORATE SOLUTIONS BRASIL SEGUROS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GUSTAVO SCHNEIDER FOSSATI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14 - Processo nº: 11080.738432/2018-06 - Recorrente: MOTOLANDIA LAJEADO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15 - Processo nº: 11080.724942/2019-79 - Recorrente: MOTOLANDIA LAJEADO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16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16 - Processo nº: 10932.720092/2015-75 - Recorrente: FRAGA COMERCIO DE METAL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17 - Processo nº: 13819.723482/2014-19 - Recorrente: FRAGA COMERCIO DE METAL LTDA - ME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18 - Processo nº: 10925.722336/2016-24 - Recorrente: RAFITEC S/A INDUSTRIA E COMERCIO DE SACARIAS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19 - Processo nº: 13855.723458/2019-40 - Recorrentes: MERCADO PAGO INSTITUICAO DE PAGAMENTO LTDA e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GUSTAVO SCHNEIDER FOSSATI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20 - Processo nº: 13609.720262/2017-43 - Recorrente: KINROSS BRASIL MINERACAO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21 - Processo nº: 13609.720293/2017-02 - Recorrente: KINROSS BRASIL MINERACAO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09:00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22 - Processo nº: 10880.910764/2017-57 - Recorrente: MORGAN STANLEY PARTICIPACOES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23 - Processo nº: 10880.964085/2017-06 - Recorrente: MORGAN STANLEY PARTICIPACOES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24 - Processo nº: 16045.720003/2015-71 - Recorrentes: FAZENDA NACIONAL e FREITAS &amp; SALLES COMERCIO DE PRODUTOS PLASTICOS LTDA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25 - Processo nº: 19740.000350/2007-15 - Recorrentes: FAZENDA NACIONAL e DACASA FINANCEIRA S/A - SOCIEDADE DE CREDITO FINANCIAMENTO E INVESTIMENTO - EM LIQUIDACAO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26 - Processo nº: 10830.725295/2015-04 - Recorrente: PETRO MASTER    SERVICOS E REPRESENTACOES DE COMBUSTIVEIS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27 - Processo nº: 10845.901959/2012-28 - Recorrente: EMBRAPORT EMPRESA BRASILEIRA DE TERMINAIS PORTUARIOS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##DAT DIA 17 de Abril de 2025, ÀS 14:00 HORAS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GUSTAVO SCHNEIDER FOSSATI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28 - Processo nº: 10280.001530/98-06 - Recorrente: RIO GRANDE PARTICIPACOES E ADMINISTRACAO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29 - Processo nº: 10280.000769/00-83 - Recorrente: RIO GRANDE PARTICIPACOES E ADMINISTRACAO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30 - Processo nº: 14041.720001/2012-44 - Recorrente: MAGNA JOSE DE SOUZA PIMENTEL E FILHOS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31 - Processo nº: 10880.939181/2009-06 - Recorrente: RIO PARANAPANEMA ENERGIA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32 - Processo nº: 19515.003368/2010-38 - Recorrente: RIO PARANAPANEMA ENERGIA S.A.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33 - Processo nº: 18220.728115/2021-76 - Recorrente: MUNDO ORIENTAL PATRIMONIAL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34 - Processo nº: 18220.728112/2021-32 - Recorrente: MUNDO ORIENTAL PATRIMONIAL LTDA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CRISTIANE PIRES MCNAUGHTON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35 - Processo nº: 10768.004164/2003-49 - Recorrente: LAFARGE BRASIL S/A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36 - Processo nº: 10680.911821/2013-48 - Recorrente: SNC-LAVALIN PROJETOS INDUSTRIAIS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37 - Processo nº: 10680.901597/2017-18 - Recorrente: SNC-LAVALIN PROJETOS INDUSTRIAIS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38 - Processo nº: 10680.903410/2013-89 - Recorrente: SNC-LAVALIN PROJETOS INDUSTRIAIS LTDA. e Interessado: FAZENDA NACIONAL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Relator(a): LIZANDRO RODRIGUES DE SOUSA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 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39 - Processo nº: 13896.721632/2014-29 - Recorrentes: FAZENDA NACIONAL e TELLUS DO BRASIL LTDA - EM RECUPERACAO JUDICIAL</w:t>
      </w:r>
    </w:p>
    <w:p>
      <w:pPr>
        <w:pStyle w:val="Normal"/>
        <w:widowControl w:val="false"/>
        <w:bidi w:val="0"/>
        <w:spacing w:before="0" w:after="0"/>
        <w:ind w:hanging="0" w:left="0" w:right="0"/>
        <w:jc w:val="both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##ASS Fernando Beltcher da Silva</w:t>
      </w:r>
    </w:p>
    <w:p>
      <w:pPr>
        <w:pStyle w:val="Normal"/>
        <w:widowControl w:val="false"/>
        <w:bidi w:val="0"/>
        <w:spacing w:before="0" w:after="0"/>
        <w:ind w:hanging="0" w:left="0" w:right="0"/>
        <w:jc w:val="center"/>
        <w:rPr>
          <w:rFonts w:ascii="Calibri" w:hAnsi="Calibri" w:cs="Calibri"/>
          <w:kern w:val="0"/>
          <w:sz w:val="18"/>
          <w:szCs w:val="18"/>
        </w:rPr>
      </w:pPr>
      <w:r>
        <w:rPr>
          <w:rFonts w:cs="Calibri" w:ascii="Calibri" w:hAnsi="Calibri"/>
          <w:kern w:val="0"/>
          <w:sz w:val="18"/>
          <w:szCs w:val="18"/>
        </w:rPr>
        <w:t>##CAR Presidente da 2ª Turma Ordinária da 1ª Câmara da 1ª Seção do CARF</w:t>
      </w:r>
    </w:p>
    <w:sectPr>
      <w:type w:val="nextPage"/>
      <w:pgSz w:w="12240" w:h="15840"/>
      <w:pgMar w:left="1701" w:right="1701" w:gutter="0" w:header="0" w:top="1417" w:footer="0" w:bottom="1417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Aptos">
    <w:charset w:val="00"/>
    <w:family w:val="auto"/>
    <w:pitch w:val="variable"/>
  </w:font>
  <w:font w:name="Times New Roman">
    <w:charset w:val="00"/>
    <w:family w:val="auto"/>
    <w:pitch w:val="variable"/>
  </w:font>
  <w:font w:name="Liberation Sans">
    <w:altName w:val="Arial"/>
    <w:charset w:val="00"/>
    <w:family w:val="swiss"/>
    <w:pitch w:val="variable"/>
  </w:font>
  <w:font w:name="Calibri">
    <w:charset w:val="00"/>
    <w:family w:val="auto"/>
    <w:pitch w:val="variable"/>
  </w:font>
  <w:font w:name="Calibri">
    <w:charset w:val="00"/>
    <w:family w:val="roman"/>
    <w:pitch w:val="variable"/>
  </w:font>
</w:fonts>
</file>

<file path=word/settings.xml><?xml version="1.0" encoding="utf-8"?>
<w:settings xmlns:w="http://schemas.openxmlformats.org/wordprocessingml/2006/main">
  <w:zoom w:percent="116"/>
  <w:defaultTabStop w:val="720"/>
  <w:autoHyphenation w:val="true"/>
  <w:hyphenationZone w:val="360"/>
  <w:compat>
    <w:doNotBreakWrappedTables/>
    <w:compatSetting w:name="compatibilityMode" w:uri="http://schemas.microsoft.com/office/word" w:val="12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Liberation Serif" w:hAnsi="Liberation Serif" w:eastAsia="NSimSun" w:cs="Lucida Sans"/>
        <w:kern w:val="2"/>
        <w:sz w:val="24"/>
        <w:szCs w:val="24"/>
        <w:lang w:val="en-US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  <w:style w:type="character" w:styleId="DefaultParagraphFont">
    <w:name w:val="Default Paragraph Font"/>
    <w:qFormat/>
    <w:rPr/>
  </w:style>
  <w:style w:type="character" w:styleId="Hyperlink">
    <w:name w:val="Hyperlink"/>
    <w:basedOn w:val="DefaultParagraphFont"/>
    <w:rPr>
      <w:rFonts w:ascii="Times New Roman" w:hAnsi="Times New Roman" w:eastAsia="Times New Roman"/>
      <w:color w:val="467886"/>
      <w:sz w:val="24"/>
      <w:szCs w:val="24"/>
      <w:u w:val="single"/>
    </w:rPr>
  </w:style>
  <w:style w:type="character" w:styleId="UnresolvedMention">
    <w:name w:val="Unresolved Mention"/>
    <w:basedOn w:val="DefaultParagraphFont"/>
    <w:qFormat/>
    <w:rPr>
      <w:rFonts w:ascii="Times New Roman" w:hAnsi="Times New Roman" w:eastAsia="Times New Roman"/>
      <w:color w:val="605E5C"/>
      <w:sz w:val="24"/>
      <w:szCs w:val="24"/>
      <w:shd w:fill="E1DFDD" w:val="clear"/>
    </w:rPr>
  </w:style>
  <w:style w:type="paragraph" w:styleId="Heading">
    <w:name w:val="Heading"/>
    <w:basedOn w:val="Normal"/>
    <w:next w:val="BodyText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BodyText">
    <w:name w:val="Body Text"/>
    <w:basedOn w:val="Normal"/>
    <w:pPr>
      <w:spacing w:lineRule="auto" w:line="276" w:before="0" w:after="140"/>
    </w:pPr>
    <w:rPr/>
  </w:style>
  <w:style w:type="paragraph" w:styleId="List">
    <w:name w:val="List"/>
    <w:basedOn w:val="BodyText"/>
    <w:pPr/>
    <w:rPr>
      <w:rFonts w:cs="Lucida Sans"/>
    </w:rPr>
  </w:style>
  <w:style w:type="paragraph" w:styleId="Caption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cs="Lucida Sans"/>
    </w:rPr>
  </w:style>
  <w:style w:type="paragraph" w:styleId="NormalTable">
    <w:name w:val="Normal Table"/>
    <w:qFormat/>
    <w:pPr>
      <w:widowControl/>
      <w:bidi w:val="0"/>
      <w:spacing w:lineRule="auto" w:line="276" w:before="0" w:after="160"/>
      <w:jc w:val="left"/>
      <w:textAlignment w:val="auto"/>
    </w:pPr>
    <w:rPr>
      <w:rFonts w:ascii="Aptos" w:hAnsi="Aptos" w:eastAsia="Times New Roman" w:cs="Times New Roman"/>
      <w:color w:val="auto"/>
      <w:kern w:val="2"/>
      <w:sz w:val="24"/>
      <w:szCs w:val="24"/>
      <w:lang w:val="pt-BR" w:eastAsia="pt-BR" w:bidi="ar-SA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yperlink" Target="https://www.youtube.com/channel/UCXuwg-xPYjmdGcqCk4rdvRg" TargetMode="Externa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xmlns:r="http://schemas.openxmlformats.org/officeDocument/2006/relationships" name="Office">
  <a:themeElements>
    <a:clrScheme name="LibreOffice">
      <a:dk1>
        <a:srgbClr val="000000"/>
      </a:dk1>
      <a:lt1>
        <a:srgbClr val="ffffff"/>
      </a:lt1>
      <a:dk2>
        <a:srgbClr val="000000"/>
      </a:dk2>
      <a:lt2>
        <a:srgbClr val="ffffff"/>
      </a:lt2>
      <a:accent1>
        <a:srgbClr val="18a303"/>
      </a:accent1>
      <a:accent2>
        <a:srgbClr val="0369a3"/>
      </a:accent2>
      <a:accent3>
        <a:srgbClr val="a33e03"/>
      </a:accent3>
      <a:accent4>
        <a:srgbClr val="8e03a3"/>
      </a:accent4>
      <a:accent5>
        <a:srgbClr val="c99c00"/>
      </a:accent5>
      <a:accent6>
        <a:srgbClr val="c9211e"/>
      </a:accent6>
      <a:hlink>
        <a:srgbClr val="0000ee"/>
      </a:hlink>
      <a:folHlink>
        <a:srgbClr val="551a8b"/>
      </a:folHlink>
    </a:clrScheme>
    <a:fontScheme name="Office">
      <a:majorFont>
        <a:latin typeface="Arial" pitchFamily="0" charset="1"/>
        <a:ea typeface="DejaVu Sans" pitchFamily="0" charset="1"/>
        <a:cs typeface="DejaVu Sans" pitchFamily="0" charset="1"/>
      </a:majorFont>
      <a:minorFont>
        <a:latin typeface="Arial" pitchFamily="0" charset="1"/>
        <a:ea typeface="DejaVu Sans" pitchFamily="0" charset="1"/>
        <a:cs typeface="DejaVu Sans" pitchFamily="0" charset="1"/>
      </a:minorFont>
    </a:fontScheme>
    <a:fmtScheme>
      <a:fillStyleLst>
        <a:solidFill>
          <a:schemeClr val="phClr"/>
        </a:solidFill>
        <a:solidFill>
          <a:schemeClr val="phClr"/>
        </a:solidFill>
        <a:solidFill>
          <a:schemeClr val="phClr"/>
        </a:solidFill>
      </a:fillStyleLst>
      <a:lnStyleLst>
        <a:ln w="6350" cap="flat" cmpd="sng" algn="ctr">
          <a:prstDash val="solid"/>
          <a:miter/>
        </a:ln>
        <a:ln w="6350" cap="flat" cmpd="sng" algn="ctr">
          <a:prstDash val="solid"/>
          <a:miter/>
        </a:ln>
        <a:ln w="6350" cap="flat" cmpd="sng" algn="ctr">
          <a:prstDash val="solid"/>
          <a:miter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solidFill>
          <a:schemeClr val="phClr"/>
        </a:solidFill>
        <a:solidFill>
          <a:schemeClr val="phClr"/>
        </a:solidFill>
      </a:bgFillStyleLst>
    </a:fmtScheme>
  </a:themeElements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0</TotalTime>
  <Application>LibreOffice/24.8.1.2$Linux_X86_64 LibreOffice_project/87fa9aec1a63e70835390b81c40bb8993f1d4ff6</Application>
  <AppVersion>15.0000</AppVersion>
  <Pages>99</Pages>
  <Words>1325</Words>
  <Characters>8469</Characters>
  <CharactersWithSpaces>7160</CharactersWithSpace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2025-04-01T20:43:00Z</dcterms:created>
  <dc:creator>Juliana Maselli Leite</dc:creator>
  <dc:description/>
  <dc:language>en-US</dc:language>
  <cp:lastModifiedBy/>
  <dcterms:modified xsi:type="dcterms:W3CDTF">2025-04-02T14:48:00Z</dcterms:modified>
  <cp:revision>3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perator">
    <vt:lpwstr>Roberto Carlos de Abreu Costa</vt:lpwstr>
  </property>
</Properties>
</file>